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F8" w:rsidRDefault="00C07F54">
      <w:pPr>
        <w:spacing w:before="74" w:line="253" w:lineRule="auto"/>
        <w:ind w:left="2330" w:right="596"/>
        <w:jc w:val="center"/>
        <w:rPr>
          <w:rFonts w:ascii="Arial" w:eastAsia="Arial" w:hAnsi="Arial" w:cs="Arial"/>
          <w:sz w:val="25"/>
          <w:szCs w:val="25"/>
        </w:rPr>
      </w:pPr>
      <w:bookmarkStart w:id="0" w:name="_GoBack"/>
      <w:bookmarkEnd w:id="0"/>
      <w:r>
        <w:pict>
          <v:group id="_x0000_s1046" style="position:absolute;left:0;text-align:left;margin-left:46.95pt;margin-top:4.95pt;width:363.55pt;height:66.8pt;z-index:-251660800;mso-position-horizontal-relative:page" coordorigin="939,99" coordsize="7271,1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672;top:934;width:5537;height:60">
              <v:imagedata r:id="rId5" o:title=""/>
            </v:shape>
            <v:shape id="_x0000_s1047" type="#_x0000_t75" style="position:absolute;left:939;top:99;width:1685;height:1336">
              <v:imagedata r:id="rId6" o:title=""/>
            </v:shape>
            <w10:wrap anchorx="page"/>
          </v:group>
        </w:pict>
      </w:r>
      <w:r>
        <w:rPr>
          <w:rFonts w:ascii="Arial" w:eastAsia="Arial" w:hAnsi="Arial" w:cs="Arial"/>
          <w:b/>
          <w:bCs/>
          <w:sz w:val="25"/>
          <w:szCs w:val="25"/>
        </w:rPr>
        <w:t>U.S.</w:t>
      </w:r>
      <w:r>
        <w:rPr>
          <w:rFonts w:ascii="Arial" w:eastAsia="Arial" w:hAnsi="Arial" w:cs="Arial"/>
          <w:b/>
          <w:bCs/>
          <w:spacing w:val="14"/>
          <w:sz w:val="25"/>
          <w:szCs w:val="25"/>
        </w:rPr>
        <w:t xml:space="preserve"> </w:t>
      </w:r>
      <w:r>
        <w:rPr>
          <w:rFonts w:ascii="Arial" w:eastAsia="Arial" w:hAnsi="Arial" w:cs="Arial"/>
          <w:b/>
          <w:bCs/>
          <w:sz w:val="25"/>
          <w:szCs w:val="25"/>
        </w:rPr>
        <w:t>Environmental</w:t>
      </w:r>
      <w:r>
        <w:rPr>
          <w:rFonts w:ascii="Arial" w:eastAsia="Arial" w:hAnsi="Arial" w:cs="Arial"/>
          <w:b/>
          <w:bCs/>
          <w:spacing w:val="15"/>
          <w:sz w:val="25"/>
          <w:szCs w:val="25"/>
        </w:rPr>
        <w:t xml:space="preserve"> </w:t>
      </w:r>
      <w:r>
        <w:rPr>
          <w:rFonts w:ascii="Arial" w:eastAsia="Arial" w:hAnsi="Arial" w:cs="Arial"/>
          <w:b/>
          <w:bCs/>
          <w:sz w:val="25"/>
          <w:szCs w:val="25"/>
        </w:rPr>
        <w:t>Protection</w:t>
      </w:r>
      <w:r>
        <w:rPr>
          <w:rFonts w:ascii="Arial" w:eastAsia="Arial" w:hAnsi="Arial" w:cs="Arial"/>
          <w:b/>
          <w:bCs/>
          <w:spacing w:val="14"/>
          <w:sz w:val="25"/>
          <w:szCs w:val="25"/>
        </w:rPr>
        <w:t xml:space="preserve"> </w:t>
      </w:r>
      <w:r>
        <w:rPr>
          <w:rFonts w:ascii="Arial" w:eastAsia="Arial" w:hAnsi="Arial" w:cs="Arial"/>
          <w:b/>
          <w:bCs/>
          <w:sz w:val="25"/>
          <w:szCs w:val="25"/>
        </w:rPr>
        <w:t>Agency</w:t>
      </w:r>
      <w:r>
        <w:rPr>
          <w:rFonts w:ascii="Arial" w:eastAsia="Arial" w:hAnsi="Arial" w:cs="Arial"/>
          <w:b/>
          <w:bCs/>
          <w:w w:val="101"/>
          <w:sz w:val="25"/>
          <w:szCs w:val="25"/>
        </w:rPr>
        <w:t xml:space="preserve"> </w:t>
      </w:r>
      <w:r>
        <w:rPr>
          <w:rFonts w:ascii="Arial" w:eastAsia="Arial" w:hAnsi="Arial" w:cs="Arial"/>
          <w:b/>
          <w:bCs/>
          <w:sz w:val="25"/>
          <w:szCs w:val="25"/>
        </w:rPr>
        <w:t>Applicability</w:t>
      </w:r>
      <w:r>
        <w:rPr>
          <w:rFonts w:ascii="Arial" w:eastAsia="Arial" w:hAnsi="Arial" w:cs="Arial"/>
          <w:b/>
          <w:bCs/>
          <w:spacing w:val="19"/>
          <w:sz w:val="25"/>
          <w:szCs w:val="25"/>
        </w:rPr>
        <w:t xml:space="preserve"> </w:t>
      </w:r>
      <w:r>
        <w:rPr>
          <w:rFonts w:ascii="Arial" w:eastAsia="Arial" w:hAnsi="Arial" w:cs="Arial"/>
          <w:b/>
          <w:bCs/>
          <w:sz w:val="25"/>
          <w:szCs w:val="25"/>
        </w:rPr>
        <w:t>Determination</w:t>
      </w:r>
      <w:r>
        <w:rPr>
          <w:rFonts w:ascii="Arial" w:eastAsia="Arial" w:hAnsi="Arial" w:cs="Arial"/>
          <w:b/>
          <w:bCs/>
          <w:spacing w:val="19"/>
          <w:sz w:val="25"/>
          <w:szCs w:val="25"/>
        </w:rPr>
        <w:t xml:space="preserve"> </w:t>
      </w:r>
      <w:r>
        <w:rPr>
          <w:rFonts w:ascii="Arial" w:eastAsia="Arial" w:hAnsi="Arial" w:cs="Arial"/>
          <w:b/>
          <w:bCs/>
          <w:sz w:val="25"/>
          <w:szCs w:val="25"/>
        </w:rPr>
        <w:t>Index</w:t>
      </w:r>
    </w:p>
    <w:p w:rsidR="009631F8" w:rsidRDefault="009631F8">
      <w:pPr>
        <w:spacing w:before="6" w:line="100" w:lineRule="exact"/>
        <w:rPr>
          <w:sz w:val="10"/>
          <w:szCs w:val="10"/>
        </w:rPr>
      </w:pPr>
    </w:p>
    <w:p w:rsidR="009631F8" w:rsidRDefault="009631F8">
      <w:pPr>
        <w:spacing w:line="200" w:lineRule="exact"/>
        <w:rPr>
          <w:sz w:val="20"/>
          <w:szCs w:val="20"/>
        </w:rPr>
      </w:pPr>
    </w:p>
    <w:p w:rsidR="009631F8" w:rsidRDefault="009631F8">
      <w:pPr>
        <w:spacing w:line="200" w:lineRule="exact"/>
        <w:rPr>
          <w:sz w:val="20"/>
          <w:szCs w:val="20"/>
        </w:rPr>
      </w:pPr>
    </w:p>
    <w:p w:rsidR="009631F8" w:rsidRDefault="009631F8">
      <w:pPr>
        <w:spacing w:line="200" w:lineRule="exact"/>
        <w:rPr>
          <w:sz w:val="20"/>
          <w:szCs w:val="20"/>
        </w:rPr>
      </w:pPr>
    </w:p>
    <w:p w:rsidR="009631F8" w:rsidRDefault="00C07F54">
      <w:pPr>
        <w:ind w:left="2270" w:right="596"/>
        <w:jc w:val="center"/>
        <w:rPr>
          <w:rFonts w:ascii="Arial" w:eastAsia="Arial" w:hAnsi="Arial" w:cs="Arial"/>
          <w:sz w:val="21"/>
          <w:szCs w:val="21"/>
        </w:rPr>
      </w:pPr>
      <w:r>
        <w:rPr>
          <w:rFonts w:ascii="Arial" w:eastAsia="Arial" w:hAnsi="Arial" w:cs="Arial"/>
          <w:b/>
          <w:bCs/>
          <w:w w:val="105"/>
          <w:sz w:val="21"/>
          <w:szCs w:val="21"/>
        </w:rPr>
        <w:t>Control</w:t>
      </w:r>
      <w:r>
        <w:rPr>
          <w:rFonts w:ascii="Arial" w:eastAsia="Arial" w:hAnsi="Arial" w:cs="Arial"/>
          <w:b/>
          <w:bCs/>
          <w:spacing w:val="-22"/>
          <w:w w:val="105"/>
          <w:sz w:val="21"/>
          <w:szCs w:val="21"/>
        </w:rPr>
        <w:t xml:space="preserve"> </w:t>
      </w:r>
      <w:r>
        <w:rPr>
          <w:rFonts w:ascii="Arial" w:eastAsia="Arial" w:hAnsi="Arial" w:cs="Arial"/>
          <w:b/>
          <w:bCs/>
          <w:w w:val="105"/>
          <w:sz w:val="21"/>
          <w:szCs w:val="21"/>
        </w:rPr>
        <w:t>Number:</w:t>
      </w:r>
      <w:r>
        <w:rPr>
          <w:rFonts w:ascii="Arial" w:eastAsia="Arial" w:hAnsi="Arial" w:cs="Arial"/>
          <w:b/>
          <w:bCs/>
          <w:spacing w:val="-22"/>
          <w:w w:val="105"/>
          <w:sz w:val="21"/>
          <w:szCs w:val="21"/>
        </w:rPr>
        <w:t xml:space="preserve"> </w:t>
      </w:r>
      <w:r>
        <w:rPr>
          <w:rFonts w:ascii="Arial" w:eastAsia="Arial" w:hAnsi="Arial" w:cs="Arial"/>
          <w:b/>
          <w:bCs/>
          <w:w w:val="105"/>
          <w:sz w:val="21"/>
          <w:szCs w:val="21"/>
        </w:rPr>
        <w:t>C67</w:t>
      </w:r>
    </w:p>
    <w:p w:rsidR="009631F8" w:rsidRDefault="009631F8">
      <w:pPr>
        <w:spacing w:before="1" w:line="170" w:lineRule="exact"/>
        <w:rPr>
          <w:sz w:val="17"/>
          <w:szCs w:val="17"/>
        </w:rPr>
      </w:pPr>
    </w:p>
    <w:p w:rsidR="009631F8" w:rsidRDefault="009631F8">
      <w:pPr>
        <w:spacing w:line="200" w:lineRule="exact"/>
        <w:rPr>
          <w:sz w:val="20"/>
          <w:szCs w:val="20"/>
        </w:rPr>
      </w:pPr>
    </w:p>
    <w:p w:rsidR="009631F8" w:rsidRDefault="00C07F54">
      <w:pPr>
        <w:tabs>
          <w:tab w:val="left" w:pos="1370"/>
        </w:tabs>
        <w:spacing w:line="307" w:lineRule="auto"/>
        <w:ind w:left="138" w:right="5274"/>
        <w:rPr>
          <w:rFonts w:ascii="Arial" w:eastAsia="Arial" w:hAnsi="Arial" w:cs="Arial"/>
          <w:sz w:val="18"/>
          <w:szCs w:val="18"/>
        </w:rPr>
      </w:pPr>
      <w:r>
        <w:rPr>
          <w:rFonts w:ascii="Arial" w:eastAsia="Arial" w:hAnsi="Arial" w:cs="Arial"/>
          <w:b/>
          <w:bCs/>
          <w:sz w:val="18"/>
          <w:szCs w:val="18"/>
        </w:rPr>
        <w:t>Category:</w:t>
      </w:r>
      <w:r>
        <w:rPr>
          <w:rFonts w:ascii="Arial" w:eastAsia="Arial" w:hAnsi="Arial" w:cs="Arial"/>
          <w:b/>
          <w:bCs/>
          <w:sz w:val="18"/>
          <w:szCs w:val="18"/>
        </w:rPr>
        <w:tab/>
      </w:r>
      <w:r>
        <w:rPr>
          <w:rFonts w:ascii="Arial" w:eastAsia="Arial" w:hAnsi="Arial" w:cs="Arial"/>
          <w:sz w:val="18"/>
          <w:szCs w:val="18"/>
        </w:rPr>
        <w:t xml:space="preserve">Asbestos </w:t>
      </w:r>
      <w:r>
        <w:rPr>
          <w:rFonts w:ascii="Arial" w:eastAsia="Arial" w:hAnsi="Arial" w:cs="Arial"/>
          <w:b/>
          <w:bCs/>
          <w:sz w:val="18"/>
          <w:szCs w:val="18"/>
        </w:rPr>
        <w:t>EPA Office:</w:t>
      </w:r>
      <w:r>
        <w:rPr>
          <w:rFonts w:ascii="Arial" w:eastAsia="Arial" w:hAnsi="Arial" w:cs="Arial"/>
          <w:b/>
          <w:bCs/>
          <w:sz w:val="18"/>
          <w:szCs w:val="18"/>
        </w:rPr>
        <w:tab/>
      </w:r>
      <w:r>
        <w:rPr>
          <w:rFonts w:ascii="Arial" w:eastAsia="Arial" w:hAnsi="Arial" w:cs="Arial"/>
          <w:sz w:val="18"/>
          <w:szCs w:val="18"/>
        </w:rPr>
        <w:t xml:space="preserve">SSCD </w:t>
      </w:r>
      <w:r>
        <w:rPr>
          <w:rFonts w:ascii="Arial" w:eastAsia="Arial" w:hAnsi="Arial" w:cs="Arial"/>
          <w:b/>
          <w:bCs/>
          <w:sz w:val="18"/>
          <w:szCs w:val="18"/>
        </w:rPr>
        <w:t>Date:</w:t>
      </w:r>
      <w:r>
        <w:rPr>
          <w:rFonts w:ascii="Arial" w:eastAsia="Arial" w:hAnsi="Arial" w:cs="Arial"/>
          <w:b/>
          <w:bCs/>
          <w:sz w:val="18"/>
          <w:szCs w:val="18"/>
        </w:rPr>
        <w:tab/>
      </w:r>
      <w:r>
        <w:rPr>
          <w:rFonts w:ascii="Arial" w:eastAsia="Arial" w:hAnsi="Arial" w:cs="Arial"/>
          <w:sz w:val="18"/>
          <w:szCs w:val="18"/>
        </w:rPr>
        <w:t>02/23/1990</w:t>
      </w:r>
    </w:p>
    <w:p w:rsidR="009631F8" w:rsidRDefault="00C07F54">
      <w:pPr>
        <w:pStyle w:val="BodyText"/>
        <w:tabs>
          <w:tab w:val="left" w:pos="1370"/>
        </w:tabs>
        <w:spacing w:before="1"/>
        <w:ind w:left="138"/>
      </w:pPr>
      <w:r>
        <w:rPr>
          <w:rFonts w:cs="Arial"/>
          <w:b/>
          <w:bCs/>
        </w:rPr>
        <w:t>Title:</w:t>
      </w:r>
      <w:r>
        <w:rPr>
          <w:rFonts w:cs="Arial"/>
          <w:b/>
          <w:bCs/>
        </w:rPr>
        <w:tab/>
      </w:r>
      <w:proofErr w:type="spellStart"/>
      <w:r>
        <w:t>Nonfriable</w:t>
      </w:r>
      <w:proofErr w:type="spellEnd"/>
      <w:r>
        <w:t xml:space="preserve"> ACM Clarification</w:t>
      </w:r>
    </w:p>
    <w:p w:rsidR="009631F8" w:rsidRDefault="00C07F54">
      <w:pPr>
        <w:pStyle w:val="Heading1"/>
        <w:spacing w:before="53"/>
        <w:ind w:left="138"/>
        <w:rPr>
          <w:b w:val="0"/>
          <w:bCs w:val="0"/>
        </w:rPr>
      </w:pPr>
      <w:r>
        <w:t>Recipient:</w:t>
      </w:r>
    </w:p>
    <w:p w:rsidR="009631F8" w:rsidRDefault="00C07F54">
      <w:pPr>
        <w:tabs>
          <w:tab w:val="left" w:pos="1370"/>
        </w:tabs>
        <w:spacing w:before="62"/>
        <w:ind w:left="138"/>
        <w:rPr>
          <w:rFonts w:ascii="Arial" w:eastAsia="Arial" w:hAnsi="Arial" w:cs="Arial"/>
          <w:sz w:val="18"/>
          <w:szCs w:val="18"/>
        </w:rPr>
      </w:pPr>
      <w:r>
        <w:rPr>
          <w:rFonts w:ascii="Arial" w:eastAsia="Arial" w:hAnsi="Arial" w:cs="Arial"/>
          <w:b/>
          <w:bCs/>
          <w:sz w:val="18"/>
          <w:szCs w:val="18"/>
        </w:rPr>
        <w:t>Author:</w:t>
      </w:r>
      <w:r>
        <w:rPr>
          <w:rFonts w:ascii="Arial" w:eastAsia="Arial" w:hAnsi="Arial" w:cs="Arial"/>
          <w:b/>
          <w:bCs/>
          <w:sz w:val="18"/>
          <w:szCs w:val="18"/>
        </w:rPr>
        <w:tab/>
      </w:r>
      <w:r>
        <w:rPr>
          <w:rFonts w:ascii="Arial" w:eastAsia="Arial" w:hAnsi="Arial" w:cs="Arial"/>
          <w:sz w:val="18"/>
          <w:szCs w:val="18"/>
        </w:rPr>
        <w:t>Farmer/Seitz/</w:t>
      </w:r>
      <w:proofErr w:type="spellStart"/>
      <w:r>
        <w:rPr>
          <w:rFonts w:ascii="Arial" w:eastAsia="Arial" w:hAnsi="Arial" w:cs="Arial"/>
          <w:sz w:val="18"/>
          <w:szCs w:val="18"/>
        </w:rPr>
        <w:t>Alushin</w:t>
      </w:r>
      <w:proofErr w:type="spellEnd"/>
    </w:p>
    <w:p w:rsidR="009631F8" w:rsidRDefault="009631F8">
      <w:pPr>
        <w:spacing w:before="1" w:line="170" w:lineRule="exact"/>
        <w:rPr>
          <w:sz w:val="17"/>
          <w:szCs w:val="17"/>
        </w:rPr>
      </w:pPr>
    </w:p>
    <w:p w:rsidR="009631F8" w:rsidRDefault="009631F8">
      <w:pPr>
        <w:spacing w:line="200" w:lineRule="exact"/>
        <w:rPr>
          <w:sz w:val="20"/>
          <w:szCs w:val="20"/>
        </w:rPr>
      </w:pPr>
    </w:p>
    <w:p w:rsidR="009631F8" w:rsidRDefault="00C07F54">
      <w:pPr>
        <w:tabs>
          <w:tab w:val="left" w:pos="1370"/>
        </w:tabs>
        <w:ind w:left="138"/>
        <w:rPr>
          <w:rFonts w:ascii="Arial" w:eastAsia="Arial" w:hAnsi="Arial" w:cs="Arial"/>
          <w:sz w:val="18"/>
          <w:szCs w:val="18"/>
        </w:rPr>
      </w:pPr>
      <w:r>
        <w:pict>
          <v:group id="_x0000_s1041" style="position:absolute;left:0;text-align:left;margin-left:44.85pt;margin-top:-9.2pt;width:367.75pt;height:1.8pt;z-index:-251659776;mso-position-horizontal-relative:page" coordorigin="897,-184" coordsize="7355,36">
            <v:group id="_x0000_s1044" style="position:absolute;left:903;top:-178;width:7343;height:24" coordorigin="903,-178" coordsize="7343,24">
              <v:shape id="_x0000_s1045" style="position:absolute;left:903;top:-178;width:7343;height:24" coordorigin="903,-178" coordsize="7343,24" path="m8246,-178r-7343,l903,-154r12,-12l8234,-166r12,-12xe" fillcolor="#7f7f7f" stroked="f">
                <v:path arrowok="t"/>
              </v:shape>
            </v:group>
            <v:group id="_x0000_s1042" style="position:absolute;left:903;top:-178;width:7343;height:24" coordorigin="903,-178" coordsize="7343,24">
              <v:shape id="_x0000_s1043" style="position:absolute;left:903;top:-178;width:7343;height:24" coordorigin="903,-178" coordsize="7343,24" path="m8246,-178r-12,12l915,-166r-12,12l8246,-154r,-24xe" fillcolor="#dfdfdf" stroked="f">
                <v:path arrowok="t"/>
              </v:shape>
            </v:group>
            <w10:wrap anchorx="page"/>
          </v:group>
        </w:pict>
      </w:r>
      <w:r>
        <w:rPr>
          <w:rFonts w:ascii="Arial" w:eastAsia="Arial" w:hAnsi="Arial" w:cs="Arial"/>
          <w:b/>
          <w:bCs/>
          <w:sz w:val="18"/>
          <w:szCs w:val="18"/>
        </w:rPr>
        <w:t>Subparts:</w:t>
      </w:r>
      <w:r>
        <w:rPr>
          <w:rFonts w:ascii="Arial" w:eastAsia="Arial" w:hAnsi="Arial" w:cs="Arial"/>
          <w:b/>
          <w:bCs/>
          <w:sz w:val="18"/>
          <w:szCs w:val="18"/>
        </w:rPr>
        <w:tab/>
      </w:r>
      <w:r>
        <w:rPr>
          <w:rFonts w:ascii="Arial" w:eastAsia="Arial" w:hAnsi="Arial" w:cs="Arial"/>
          <w:sz w:val="18"/>
          <w:szCs w:val="18"/>
        </w:rPr>
        <w:t xml:space="preserve">Part 61, </w:t>
      </w:r>
      <w:r>
        <w:rPr>
          <w:rFonts w:ascii="Arial" w:eastAsia="Arial" w:hAnsi="Arial" w:cs="Arial"/>
          <w:sz w:val="18"/>
          <w:szCs w:val="18"/>
        </w:rPr>
        <w:t>M, Asbestos</w:t>
      </w:r>
    </w:p>
    <w:p w:rsidR="009631F8" w:rsidRDefault="009631F8">
      <w:pPr>
        <w:spacing w:before="1" w:line="170" w:lineRule="exact"/>
        <w:rPr>
          <w:sz w:val="17"/>
          <w:szCs w:val="17"/>
        </w:rPr>
      </w:pPr>
    </w:p>
    <w:p w:rsidR="009631F8" w:rsidRDefault="009631F8">
      <w:pPr>
        <w:spacing w:line="200" w:lineRule="exact"/>
        <w:rPr>
          <w:sz w:val="20"/>
          <w:szCs w:val="20"/>
        </w:rPr>
      </w:pPr>
    </w:p>
    <w:p w:rsidR="009631F8" w:rsidRDefault="00C07F54">
      <w:pPr>
        <w:ind w:left="138"/>
        <w:rPr>
          <w:rFonts w:ascii="Arial" w:eastAsia="Arial" w:hAnsi="Arial" w:cs="Arial"/>
          <w:sz w:val="18"/>
          <w:szCs w:val="18"/>
        </w:rPr>
      </w:pPr>
      <w:r>
        <w:pict>
          <v:group id="_x0000_s1036" style="position:absolute;left:0;text-align:left;margin-left:44.85pt;margin-top:-9.2pt;width:367.75pt;height:1.8pt;z-index:-251658752;mso-position-horizontal-relative:page" coordorigin="897,-184" coordsize="7355,36">
            <v:group id="_x0000_s1039" style="position:absolute;left:903;top:-178;width:7343;height:24" coordorigin="903,-178" coordsize="7343,24">
              <v:shape id="_x0000_s1040" style="position:absolute;left:903;top:-178;width:7343;height:24" coordorigin="903,-178" coordsize="7343,24" path="m8246,-178r-7343,l903,-154r12,-12l8234,-166r12,-12xe" fillcolor="#7f7f7f" stroked="f">
                <v:path arrowok="t"/>
              </v:shape>
            </v:group>
            <v:group id="_x0000_s1037" style="position:absolute;left:903;top:-178;width:7343;height:24" coordorigin="903,-178" coordsize="7343,24">
              <v:shape id="_x0000_s1038" style="position:absolute;left:903;top:-178;width:7343;height:24" coordorigin="903,-178" coordsize="7343,24" path="m8246,-178r-12,12l915,-166r-12,12l8246,-154r,-24xe" fillcolor="#dfdfdf" stroked="f">
                <v:path arrowok="t"/>
              </v:shape>
            </v:group>
            <w10:wrap anchorx="page"/>
          </v:group>
        </w:pict>
      </w:r>
      <w:r>
        <w:rPr>
          <w:rFonts w:ascii="Arial" w:eastAsia="Arial" w:hAnsi="Arial" w:cs="Arial"/>
          <w:b/>
          <w:bCs/>
          <w:sz w:val="18"/>
          <w:szCs w:val="18"/>
        </w:rPr>
        <w:t xml:space="preserve">References:  </w:t>
      </w:r>
      <w:r>
        <w:rPr>
          <w:rFonts w:ascii="Arial" w:eastAsia="Arial" w:hAnsi="Arial" w:cs="Arial"/>
          <w:b/>
          <w:bCs/>
          <w:spacing w:val="47"/>
          <w:sz w:val="18"/>
          <w:szCs w:val="18"/>
        </w:rPr>
        <w:t xml:space="preserve"> </w:t>
      </w:r>
      <w:r>
        <w:rPr>
          <w:rFonts w:ascii="Arial" w:eastAsia="Arial" w:hAnsi="Arial" w:cs="Arial"/>
          <w:sz w:val="18"/>
          <w:szCs w:val="18"/>
        </w:rPr>
        <w:t>61.141</w:t>
      </w:r>
    </w:p>
    <w:p w:rsidR="009631F8" w:rsidRDefault="00C07F54">
      <w:pPr>
        <w:pStyle w:val="BodyText"/>
        <w:spacing w:before="58"/>
        <w:ind w:left="0" w:right="4255"/>
        <w:jc w:val="center"/>
      </w:pPr>
      <w:r>
        <w:t>61.145</w:t>
      </w:r>
    </w:p>
    <w:p w:rsidR="009631F8" w:rsidRDefault="009631F8">
      <w:pPr>
        <w:spacing w:before="10" w:line="120" w:lineRule="exact"/>
        <w:rPr>
          <w:sz w:val="12"/>
          <w:szCs w:val="12"/>
        </w:rPr>
      </w:pPr>
    </w:p>
    <w:p w:rsidR="009631F8" w:rsidRDefault="009631F8">
      <w:pPr>
        <w:spacing w:line="200" w:lineRule="exact"/>
        <w:rPr>
          <w:sz w:val="20"/>
          <w:szCs w:val="20"/>
        </w:rPr>
      </w:pPr>
    </w:p>
    <w:p w:rsidR="009631F8" w:rsidRDefault="00C07F54">
      <w:pPr>
        <w:pStyle w:val="Heading1"/>
        <w:rPr>
          <w:b w:val="0"/>
          <w:bCs w:val="0"/>
        </w:rPr>
      </w:pPr>
      <w:r>
        <w:pict>
          <v:group id="_x0000_s1031" style="position:absolute;left:0;text-align:left;margin-left:44.85pt;margin-top:-7.15pt;width:367.75pt;height:1.8pt;z-index:-251657728;mso-position-horizontal-relative:page" coordorigin="897,-143" coordsize="7355,36">
            <v:group id="_x0000_s1034" style="position:absolute;left:903;top:-137;width:7343;height:24" coordorigin="903,-137" coordsize="7343,24">
              <v:shape id="_x0000_s1035" style="position:absolute;left:903;top:-137;width:7343;height:24" coordorigin="903,-137" coordsize="7343,24" path="m8246,-137r-7343,l903,-113r12,-12l8234,-125r12,-12xe" fillcolor="#7f7f7f" stroked="f">
                <v:path arrowok="t"/>
              </v:shape>
            </v:group>
            <v:group id="_x0000_s1032" style="position:absolute;left:903;top:-137;width:7343;height:24" coordorigin="903,-137" coordsize="7343,24">
              <v:shape id="_x0000_s1033" style="position:absolute;left:903;top:-137;width:7343;height:24" coordorigin="903,-137" coordsize="7343,24" path="m8246,-137r-12,12l915,-125r-12,12l8246,-113r,-24xe" fillcolor="#dfdfdf" stroked="f">
                <v:path arrowok="t"/>
              </v:shape>
            </v:group>
            <w10:wrap anchorx="page"/>
          </v:group>
        </w:pict>
      </w:r>
      <w:r>
        <w:t>Abstract:</w:t>
      </w:r>
    </w:p>
    <w:p w:rsidR="009631F8" w:rsidRDefault="009631F8">
      <w:pPr>
        <w:spacing w:before="8" w:line="120" w:lineRule="exact"/>
        <w:rPr>
          <w:sz w:val="12"/>
          <w:szCs w:val="12"/>
        </w:rPr>
      </w:pPr>
    </w:p>
    <w:p w:rsidR="009631F8" w:rsidRDefault="009631F8">
      <w:pPr>
        <w:spacing w:line="200" w:lineRule="exact"/>
        <w:rPr>
          <w:sz w:val="20"/>
          <w:szCs w:val="20"/>
        </w:rPr>
      </w:pPr>
    </w:p>
    <w:p w:rsidR="009631F8" w:rsidRDefault="00C07F54">
      <w:pPr>
        <w:pStyle w:val="BodyText"/>
        <w:spacing w:line="251" w:lineRule="auto"/>
        <w:ind w:right="697"/>
      </w:pPr>
      <w:r>
        <w:t xml:space="preserve">This memorandum clarifies the EPA's position regarding applicability of the asbestos NESHAP to </w:t>
      </w:r>
      <w:proofErr w:type="spellStart"/>
      <w:r>
        <w:t>nonfriable</w:t>
      </w:r>
      <w:proofErr w:type="spellEnd"/>
      <w:r>
        <w:t xml:space="preserve"> ACM.</w:t>
      </w:r>
    </w:p>
    <w:p w:rsidR="009631F8" w:rsidRDefault="009631F8">
      <w:pPr>
        <w:spacing w:before="9" w:line="220" w:lineRule="exact"/>
      </w:pPr>
    </w:p>
    <w:p w:rsidR="009631F8" w:rsidRDefault="00C07F54">
      <w:pPr>
        <w:pStyle w:val="BodyText"/>
        <w:spacing w:line="251" w:lineRule="auto"/>
        <w:ind w:right="84"/>
      </w:pPr>
      <w:r>
        <w:t xml:space="preserve">Floor tile, roofing material, packing, and gaskets (normally </w:t>
      </w:r>
      <w:proofErr w:type="spellStart"/>
      <w:r>
        <w:t>nonfriable</w:t>
      </w:r>
      <w:proofErr w:type="spellEnd"/>
      <w:r>
        <w:t xml:space="preserve"> ACM) </w:t>
      </w:r>
      <w:r>
        <w:t xml:space="preserve">must be inspected before demolition to determine if the ACM is in poor condition, indicated by peeling, cracking, or crumbling of the material. If normally </w:t>
      </w:r>
      <w:proofErr w:type="spellStart"/>
      <w:r>
        <w:t>nonfriable</w:t>
      </w:r>
      <w:proofErr w:type="spellEnd"/>
      <w:r>
        <w:t xml:space="preserve"> ACM is in poor condition, then the material must be tested for friability. If the ACM is </w:t>
      </w:r>
      <w:r>
        <w:t xml:space="preserve">friable, it must be handled in accordance with the NESHAP. The above four </w:t>
      </w:r>
      <w:proofErr w:type="spellStart"/>
      <w:r>
        <w:t>nonfriable</w:t>
      </w:r>
      <w:proofErr w:type="spellEnd"/>
      <w:r>
        <w:t xml:space="preserve"> ACM should be removed before demolition only if they are in poor condition and are friable.</w:t>
      </w:r>
    </w:p>
    <w:p w:rsidR="009631F8" w:rsidRDefault="009631F8">
      <w:pPr>
        <w:spacing w:before="9" w:line="220" w:lineRule="exact"/>
      </w:pPr>
    </w:p>
    <w:p w:rsidR="009631F8" w:rsidRDefault="00C07F54">
      <w:pPr>
        <w:pStyle w:val="BodyText"/>
        <w:spacing w:line="251" w:lineRule="auto"/>
        <w:ind w:right="179"/>
      </w:pPr>
      <w:r>
        <w:t xml:space="preserve">If the </w:t>
      </w:r>
      <w:proofErr w:type="spellStart"/>
      <w:r>
        <w:t>nonfriable</w:t>
      </w:r>
      <w:proofErr w:type="spellEnd"/>
      <w:r>
        <w:t xml:space="preserve"> ACM is subjected to sanding, grinding, or abrading during de</w:t>
      </w:r>
      <w:r>
        <w:t xml:space="preserve">molition or renovation, then the </w:t>
      </w:r>
      <w:proofErr w:type="spellStart"/>
      <w:r>
        <w:t>nonfriable</w:t>
      </w:r>
      <w:proofErr w:type="spellEnd"/>
      <w:r>
        <w:t xml:space="preserve"> ACM must be handled in accordance with the NESHAP. If a building is demolished by burning, all ACM must be removed prior to the demolition.</w:t>
      </w:r>
    </w:p>
    <w:p w:rsidR="009631F8" w:rsidRDefault="009631F8">
      <w:pPr>
        <w:spacing w:before="3" w:line="110" w:lineRule="exact"/>
        <w:rPr>
          <w:sz w:val="11"/>
          <w:szCs w:val="11"/>
        </w:rPr>
      </w:pPr>
    </w:p>
    <w:p w:rsidR="009631F8" w:rsidRDefault="009631F8">
      <w:pPr>
        <w:spacing w:line="200" w:lineRule="exact"/>
        <w:rPr>
          <w:sz w:val="20"/>
          <w:szCs w:val="20"/>
        </w:rPr>
      </w:pPr>
    </w:p>
    <w:p w:rsidR="009631F8" w:rsidRDefault="009631F8">
      <w:pPr>
        <w:spacing w:line="200" w:lineRule="exact"/>
        <w:rPr>
          <w:sz w:val="20"/>
          <w:szCs w:val="20"/>
        </w:rPr>
      </w:pPr>
    </w:p>
    <w:p w:rsidR="009631F8" w:rsidRDefault="00C07F54">
      <w:pPr>
        <w:pStyle w:val="Heading1"/>
        <w:rPr>
          <w:b w:val="0"/>
          <w:bCs w:val="0"/>
        </w:rPr>
      </w:pPr>
      <w:r>
        <w:pict>
          <v:group id="_x0000_s1026" style="position:absolute;left:0;text-align:left;margin-left:44.85pt;margin-top:-7.15pt;width:367.75pt;height:1.8pt;z-index:-251656704;mso-position-horizontal-relative:page" coordorigin="897,-143" coordsize="7355,36">
            <v:group id="_x0000_s1029" style="position:absolute;left:903;top:-137;width:7343;height:24" coordorigin="903,-137" coordsize="7343,24">
              <v:shape id="_x0000_s1030" style="position:absolute;left:903;top:-137;width:7343;height:24" coordorigin="903,-137" coordsize="7343,24" path="m8246,-137r-7343,l903,-113r12,-12l8234,-125r12,-12xe" fillcolor="#7f7f7f" stroked="f">
                <v:path arrowok="t"/>
              </v:shape>
            </v:group>
            <v:group id="_x0000_s1027" style="position:absolute;left:903;top:-137;width:7343;height:24" coordorigin="903,-137" coordsize="7343,24">
              <v:shape id="_x0000_s1028" style="position:absolute;left:903;top:-137;width:7343;height:24" coordorigin="903,-137" coordsize="7343,24" path="m8246,-137r-12,12l915,-125r-12,12l8246,-113r,-24xe" fillcolor="#dfdfdf" stroked="f">
                <v:path arrowok="t"/>
              </v:shape>
            </v:group>
            <w10:wrap anchorx="page"/>
          </v:group>
        </w:pict>
      </w:r>
      <w:r>
        <w:t>Letter:</w:t>
      </w:r>
    </w:p>
    <w:p w:rsidR="009631F8" w:rsidRDefault="009631F8">
      <w:pPr>
        <w:spacing w:before="8" w:line="120" w:lineRule="exact"/>
        <w:rPr>
          <w:sz w:val="12"/>
          <w:szCs w:val="12"/>
        </w:rPr>
      </w:pPr>
    </w:p>
    <w:p w:rsidR="009631F8" w:rsidRDefault="009631F8">
      <w:pPr>
        <w:spacing w:line="200" w:lineRule="exact"/>
        <w:rPr>
          <w:sz w:val="20"/>
          <w:szCs w:val="20"/>
        </w:rPr>
      </w:pPr>
    </w:p>
    <w:p w:rsidR="009631F8" w:rsidRDefault="00C07F54">
      <w:pPr>
        <w:pStyle w:val="BodyText"/>
      </w:pPr>
      <w:r>
        <w:t>UNITED STATES ENVIRONMENTAL PROTECTION AGENCY</w:t>
      </w:r>
    </w:p>
    <w:p w:rsidR="009631F8" w:rsidRDefault="00C07F54">
      <w:pPr>
        <w:pStyle w:val="BodyText"/>
        <w:spacing w:before="9" w:line="251" w:lineRule="auto"/>
        <w:ind w:right="3732"/>
      </w:pPr>
      <w:r>
        <w:t xml:space="preserve">Office </w:t>
      </w:r>
      <w:r>
        <w:t>of Air Quality Planning and Standards Research Triangle Park, North Carolina 27711</w:t>
      </w:r>
    </w:p>
    <w:p w:rsidR="009631F8" w:rsidRDefault="009631F8">
      <w:pPr>
        <w:spacing w:before="9" w:line="220" w:lineRule="exact"/>
      </w:pPr>
    </w:p>
    <w:p w:rsidR="009631F8" w:rsidRDefault="00C07F54">
      <w:pPr>
        <w:pStyle w:val="BodyText"/>
        <w:spacing w:line="516" w:lineRule="auto"/>
        <w:ind w:right="5970"/>
      </w:pPr>
      <w:r>
        <w:t>February 23, 1990 MEMORANDUM</w:t>
      </w:r>
    </w:p>
    <w:p w:rsidR="009631F8" w:rsidRDefault="00C07F54">
      <w:pPr>
        <w:pStyle w:val="BodyText"/>
        <w:spacing w:before="6"/>
      </w:pPr>
      <w:r>
        <w:t xml:space="preserve">SUBJECT: Clarification of EPA NESHAP Policy - </w:t>
      </w:r>
      <w:proofErr w:type="spellStart"/>
      <w:r>
        <w:t>Nonfriable</w:t>
      </w:r>
      <w:proofErr w:type="spellEnd"/>
      <w:r>
        <w:t xml:space="preserve"> ACM</w:t>
      </w:r>
    </w:p>
    <w:p w:rsidR="009631F8" w:rsidRDefault="009631F8">
      <w:pPr>
        <w:spacing w:before="18" w:line="220" w:lineRule="exact"/>
      </w:pPr>
    </w:p>
    <w:p w:rsidR="009631F8" w:rsidRDefault="00C07F54">
      <w:pPr>
        <w:pStyle w:val="BodyText"/>
        <w:spacing w:line="251" w:lineRule="auto"/>
        <w:ind w:right="4446"/>
      </w:pPr>
      <w:r>
        <w:t>FROM: Jack R. Farmer, Director Emission Standards Division (MD-13)</w:t>
      </w:r>
    </w:p>
    <w:p w:rsidR="009631F8" w:rsidRDefault="009631F8">
      <w:pPr>
        <w:spacing w:before="9" w:line="220" w:lineRule="exact"/>
      </w:pPr>
    </w:p>
    <w:p w:rsidR="009631F8" w:rsidRDefault="00C07F54">
      <w:pPr>
        <w:pStyle w:val="BodyText"/>
      </w:pPr>
      <w:r>
        <w:t>John S. Seitz</w:t>
      </w:r>
      <w:r>
        <w:t>, Director</w:t>
      </w:r>
    </w:p>
    <w:p w:rsidR="009631F8" w:rsidRDefault="00C07F54">
      <w:pPr>
        <w:pStyle w:val="BodyText"/>
        <w:spacing w:before="9"/>
      </w:pPr>
      <w:r>
        <w:t>Stationary Source Compliance Division (EN-341)</w:t>
      </w:r>
    </w:p>
    <w:p w:rsidR="009631F8" w:rsidRDefault="009631F8">
      <w:pPr>
        <w:spacing w:before="18" w:line="220" w:lineRule="exact"/>
      </w:pPr>
    </w:p>
    <w:p w:rsidR="009631F8" w:rsidRDefault="00C07F54">
      <w:pPr>
        <w:pStyle w:val="BodyText"/>
      </w:pPr>
      <w:r>
        <w:t xml:space="preserve">Michael S. </w:t>
      </w:r>
      <w:proofErr w:type="spellStart"/>
      <w:r>
        <w:t>Alushin</w:t>
      </w:r>
      <w:proofErr w:type="spellEnd"/>
    </w:p>
    <w:p w:rsidR="009631F8" w:rsidRDefault="00C07F54">
      <w:pPr>
        <w:pStyle w:val="BodyText"/>
        <w:spacing w:before="9" w:line="251" w:lineRule="auto"/>
        <w:ind w:right="3271"/>
      </w:pPr>
      <w:r>
        <w:t>Associate Enforcement Counsel for Air Enforcement (LE-134A)</w:t>
      </w:r>
    </w:p>
    <w:p w:rsidR="009631F8" w:rsidRDefault="009631F8">
      <w:pPr>
        <w:spacing w:before="9" w:line="220" w:lineRule="exact"/>
      </w:pPr>
    </w:p>
    <w:p w:rsidR="009631F8" w:rsidRDefault="00C07F54">
      <w:pPr>
        <w:pStyle w:val="BodyText"/>
      </w:pPr>
      <w:r>
        <w:t>TO: See Below</w:t>
      </w:r>
    </w:p>
    <w:p w:rsidR="009631F8" w:rsidRDefault="009631F8">
      <w:pPr>
        <w:spacing w:before="18" w:line="220" w:lineRule="exact"/>
      </w:pPr>
    </w:p>
    <w:p w:rsidR="009631F8" w:rsidRDefault="00C07F54">
      <w:pPr>
        <w:pStyle w:val="BodyText"/>
        <w:spacing w:line="251" w:lineRule="auto"/>
        <w:ind w:right="130"/>
      </w:pPr>
      <w:r>
        <w:t xml:space="preserve">This memorandum clarifies the requirements of the Asbestos NESHAP regarding </w:t>
      </w:r>
      <w:proofErr w:type="spellStart"/>
      <w:r>
        <w:t>nonfriable</w:t>
      </w:r>
      <w:proofErr w:type="spellEnd"/>
      <w:r>
        <w:t xml:space="preserve"> asbestos </w:t>
      </w:r>
      <w:r>
        <w:lastRenderedPageBreak/>
        <w:t>contai</w:t>
      </w:r>
      <w:r>
        <w:t>ning material (ACM), such as floor tile, roofing material, packing, and gaskets.</w:t>
      </w:r>
    </w:p>
    <w:p w:rsidR="009631F8" w:rsidRDefault="009631F8">
      <w:pPr>
        <w:spacing w:before="9" w:line="220" w:lineRule="exact"/>
      </w:pPr>
    </w:p>
    <w:p w:rsidR="009631F8" w:rsidRDefault="00C07F54">
      <w:pPr>
        <w:pStyle w:val="BodyText"/>
        <w:spacing w:line="251" w:lineRule="auto"/>
        <w:ind w:right="250"/>
      </w:pPr>
      <w:r>
        <w:t>The issue of friability and the intent of the original standards for demolition and renovation activities have been the source of many questions and comments. In recent month</w:t>
      </w:r>
      <w:r>
        <w:t>s, we have spent considerable time discussing this issue and reviewing subsequent interpretations of the standards. The rulemaking proposed on January 10, 1989 only addresses administrative changes or clarifications to the original standards. Thus, the fin</w:t>
      </w:r>
      <w:r>
        <w:t xml:space="preserve">al rulemaking </w:t>
      </w:r>
      <w:proofErr w:type="spellStart"/>
      <w:r>
        <w:t>can not</w:t>
      </w:r>
      <w:proofErr w:type="spellEnd"/>
      <w:r>
        <w:t xml:space="preserve"> result in a change that would affect the stringency of the original standards.</w:t>
      </w:r>
    </w:p>
    <w:p w:rsidR="009631F8" w:rsidRDefault="009631F8">
      <w:pPr>
        <w:spacing w:before="9" w:line="220" w:lineRule="exact"/>
      </w:pPr>
    </w:p>
    <w:p w:rsidR="009631F8" w:rsidRDefault="00C07F54">
      <w:pPr>
        <w:pStyle w:val="BodyText"/>
        <w:spacing w:line="251" w:lineRule="auto"/>
        <w:ind w:right="114"/>
      </w:pPr>
      <w:r>
        <w:t xml:space="preserve">In the original rule, published in 1973, a distinction was made between building materials that would release a significant amount of asbestos fibers and </w:t>
      </w:r>
      <w:r>
        <w:t xml:space="preserve">materials that would not. Floor tile, roofing material, </w:t>
      </w:r>
      <w:proofErr w:type="spellStart"/>
      <w:r>
        <w:t>packings</w:t>
      </w:r>
      <w:proofErr w:type="spellEnd"/>
      <w:r>
        <w:t>, and gaskets were identified as materials that would not release significant amounts of fiber when disturbed. The term "friable" was used to make this distinction.</w:t>
      </w:r>
    </w:p>
    <w:p w:rsidR="009631F8" w:rsidRDefault="009631F8">
      <w:pPr>
        <w:spacing w:before="9" w:line="220" w:lineRule="exact"/>
      </w:pPr>
    </w:p>
    <w:p w:rsidR="009631F8" w:rsidRDefault="00C07F54">
      <w:pPr>
        <w:pStyle w:val="BodyText"/>
        <w:spacing w:line="251" w:lineRule="auto"/>
        <w:ind w:right="184"/>
      </w:pPr>
      <w:r>
        <w:t>In December 1985, we issue</w:t>
      </w:r>
      <w:r>
        <w:t xml:space="preserve">d a determination which stated that if </w:t>
      </w:r>
      <w:proofErr w:type="spellStart"/>
      <w:r>
        <w:t>nonfriable</w:t>
      </w:r>
      <w:proofErr w:type="spellEnd"/>
      <w:r>
        <w:t xml:space="preserve"> ACM could be damaged to the extent that it would be crumbled, pulverized, or reduced to powder, it should be removed prior to demolition. The 1985 determination was intended to affect only practices and ACM</w:t>
      </w:r>
      <w:r>
        <w:t xml:space="preserve"> that could result in the release of significant quantities of asbestos. While it was unclear whether this determination was intended to affect ACM such as floor tile, roofing material, </w:t>
      </w:r>
      <w:proofErr w:type="spellStart"/>
      <w:r>
        <w:t>packings</w:t>
      </w:r>
      <w:proofErr w:type="spellEnd"/>
      <w:r>
        <w:t xml:space="preserve"> and gaskets that are not friable, some delegated enforcement </w:t>
      </w:r>
      <w:r>
        <w:t>agencies were inferring this material must be removed prior to demolition to ensure compliance with the NESHAP.</w:t>
      </w:r>
    </w:p>
    <w:p w:rsidR="009631F8" w:rsidRDefault="009631F8">
      <w:pPr>
        <w:spacing w:before="9" w:line="220" w:lineRule="exact"/>
      </w:pPr>
    </w:p>
    <w:p w:rsidR="009631F8" w:rsidRDefault="00C07F54">
      <w:pPr>
        <w:pStyle w:val="BodyText"/>
        <w:spacing w:line="251" w:lineRule="auto"/>
        <w:ind w:right="260"/>
      </w:pPr>
      <w:r>
        <w:t xml:space="preserve">Although no research has been conducted on the conditions which will cause </w:t>
      </w:r>
      <w:proofErr w:type="spellStart"/>
      <w:r>
        <w:t>nonfriable</w:t>
      </w:r>
      <w:proofErr w:type="spellEnd"/>
      <w:r>
        <w:t xml:space="preserve"> materials to become friable, it is considered probable </w:t>
      </w:r>
      <w:r>
        <w:t xml:space="preserve">that some conditions (e.g. severe weathering, prolonged exposure to harsh chemicals) will cause this effect. Furthermore, certain practices such as burning, sanding, or grinding could crumble, pulverize, or reduce to powder </w:t>
      </w:r>
      <w:proofErr w:type="spellStart"/>
      <w:r>
        <w:t>nonfriable</w:t>
      </w:r>
      <w:proofErr w:type="spellEnd"/>
      <w:r>
        <w:t xml:space="preserve"> ACM.</w:t>
      </w:r>
    </w:p>
    <w:p w:rsidR="009631F8" w:rsidRDefault="009631F8">
      <w:pPr>
        <w:spacing w:before="9" w:line="220" w:lineRule="exact"/>
      </w:pPr>
    </w:p>
    <w:p w:rsidR="009631F8" w:rsidRDefault="00C07F54">
      <w:pPr>
        <w:pStyle w:val="BodyText"/>
      </w:pPr>
      <w:r>
        <w:t>POLICY</w:t>
      </w:r>
    </w:p>
    <w:p w:rsidR="009631F8" w:rsidRDefault="009631F8">
      <w:pPr>
        <w:spacing w:before="18" w:line="220" w:lineRule="exact"/>
      </w:pPr>
    </w:p>
    <w:p w:rsidR="009631F8" w:rsidRDefault="00C07F54">
      <w:pPr>
        <w:pStyle w:val="BodyText"/>
      </w:pPr>
      <w:r>
        <w:t>Therefo</w:t>
      </w:r>
      <w:r>
        <w:t>re, we recommend the following approach:</w:t>
      </w:r>
    </w:p>
    <w:p w:rsidR="009631F8" w:rsidRDefault="009631F8">
      <w:pPr>
        <w:spacing w:before="18" w:line="220" w:lineRule="exact"/>
      </w:pPr>
    </w:p>
    <w:p w:rsidR="009631F8" w:rsidRDefault="00C07F54">
      <w:pPr>
        <w:pStyle w:val="BodyText"/>
        <w:spacing w:line="251" w:lineRule="auto"/>
        <w:ind w:right="84"/>
      </w:pPr>
      <w:r>
        <w:t xml:space="preserve">Floor tile, roofing material, packing, and gaskets (normally </w:t>
      </w:r>
      <w:proofErr w:type="spellStart"/>
      <w:r>
        <w:t>nonfriable</w:t>
      </w:r>
      <w:proofErr w:type="spellEnd"/>
      <w:r>
        <w:t xml:space="preserve"> ACM) must be inspected before demolition to determine if the ACM is in poor condition, indicated by peeling, cracking, or crumbling of the mat</w:t>
      </w:r>
      <w:r>
        <w:t xml:space="preserve">erial. If normally </w:t>
      </w:r>
      <w:proofErr w:type="spellStart"/>
      <w:r>
        <w:t>nonfriable</w:t>
      </w:r>
      <w:proofErr w:type="spellEnd"/>
      <w:r>
        <w:t xml:space="preserve"> ACM is in poor condition, then the material must be tested for friability. If the ACM is friable, it must be handled in accordance with the NESHAP. The above four </w:t>
      </w:r>
      <w:proofErr w:type="spellStart"/>
      <w:r>
        <w:t>nonfriable</w:t>
      </w:r>
      <w:proofErr w:type="spellEnd"/>
      <w:r>
        <w:t xml:space="preserve"> ACM should be removed before demolition only if they</w:t>
      </w:r>
      <w:r>
        <w:t xml:space="preserve"> are in poor condition and are friable.</w:t>
      </w:r>
    </w:p>
    <w:p w:rsidR="009631F8" w:rsidRDefault="009631F8">
      <w:pPr>
        <w:spacing w:before="9" w:line="220" w:lineRule="exact"/>
      </w:pPr>
    </w:p>
    <w:p w:rsidR="009631F8" w:rsidRDefault="00C07F54">
      <w:pPr>
        <w:pStyle w:val="BodyText"/>
        <w:spacing w:line="251" w:lineRule="auto"/>
        <w:ind w:right="179"/>
        <w:jc w:val="both"/>
      </w:pPr>
      <w:r>
        <w:t xml:space="preserve">If the </w:t>
      </w:r>
      <w:proofErr w:type="spellStart"/>
      <w:r>
        <w:t>nonfriable</w:t>
      </w:r>
      <w:proofErr w:type="spellEnd"/>
      <w:r>
        <w:t xml:space="preserve"> ACM is subjected to sanding, grinding, or abrading as part of demolition or renovation, then the </w:t>
      </w:r>
      <w:proofErr w:type="spellStart"/>
      <w:r>
        <w:t>nonfriable</w:t>
      </w:r>
      <w:proofErr w:type="spellEnd"/>
      <w:r>
        <w:t xml:space="preserve"> ACM must be handled in accordance with the NESHAP. If a building is demolished by burning</w:t>
      </w:r>
      <w:r>
        <w:t>, all ACM must be removed prior to the demolition.</w:t>
      </w:r>
    </w:p>
    <w:p w:rsidR="009631F8" w:rsidRDefault="009631F8">
      <w:pPr>
        <w:spacing w:before="9" w:line="220" w:lineRule="exact"/>
      </w:pPr>
    </w:p>
    <w:p w:rsidR="009631F8" w:rsidRDefault="00C07F54">
      <w:pPr>
        <w:pStyle w:val="BodyText"/>
        <w:spacing w:line="516" w:lineRule="auto"/>
        <w:ind w:right="109"/>
      </w:pPr>
      <w:r>
        <w:t>We believe that this approach is consistent with the original rule and the 1985 interpretation. PLANNED FUTURE ACTION</w:t>
      </w:r>
    </w:p>
    <w:p w:rsidR="009631F8" w:rsidRDefault="00C07F54">
      <w:pPr>
        <w:pStyle w:val="BodyText"/>
        <w:spacing w:before="6" w:line="251" w:lineRule="auto"/>
        <w:ind w:right="561"/>
      </w:pPr>
      <w:r>
        <w:t>After passage of Title III of the new Clean Air Act amendments we intend to review the</w:t>
      </w:r>
      <w:r>
        <w:t xml:space="preserve"> asbestos NESHAP. This will allow us to further consider appropriate changes to this NESHAP.</w:t>
      </w:r>
    </w:p>
    <w:p w:rsidR="009631F8" w:rsidRDefault="009631F8">
      <w:pPr>
        <w:spacing w:before="9" w:line="220" w:lineRule="exact"/>
      </w:pPr>
    </w:p>
    <w:p w:rsidR="009631F8" w:rsidRDefault="00C07F54">
      <w:pPr>
        <w:pStyle w:val="BodyText"/>
      </w:pPr>
      <w:r>
        <w:t>ADDRESSEES:</w:t>
      </w:r>
    </w:p>
    <w:p w:rsidR="009631F8" w:rsidRDefault="00C07F54">
      <w:pPr>
        <w:pStyle w:val="BodyText"/>
        <w:spacing w:before="9" w:line="251" w:lineRule="auto"/>
        <w:ind w:right="302"/>
      </w:pPr>
      <w:r>
        <w:t xml:space="preserve">Kent Anderson, OSW (WH-565E) Kathy Kaufman, OPAR (ANR-443) Mike Beard, ORD (MD-77) Bob </w:t>
      </w:r>
      <w:proofErr w:type="spellStart"/>
      <w:r>
        <w:t>Kellam</w:t>
      </w:r>
      <w:proofErr w:type="spellEnd"/>
      <w:r>
        <w:t xml:space="preserve">, ESD (MD-13) Jim Crowder, ESD (MD-13) Dennis </w:t>
      </w:r>
      <w:proofErr w:type="spellStart"/>
      <w:r>
        <w:t>Kotchmar</w:t>
      </w:r>
      <w:proofErr w:type="spellEnd"/>
      <w:r>
        <w:t xml:space="preserve">, </w:t>
      </w:r>
      <w:r>
        <w:t xml:space="preserve">ECAO (MD-52) Fred </w:t>
      </w:r>
      <w:proofErr w:type="spellStart"/>
      <w:r>
        <w:t>Dimmick</w:t>
      </w:r>
      <w:proofErr w:type="spellEnd"/>
      <w:r>
        <w:t xml:space="preserve">, ESD (MD-13) Gary McAlister, ESD (MD-19) Stan </w:t>
      </w:r>
      <w:proofErr w:type="spellStart"/>
      <w:r>
        <w:t>Durkee</w:t>
      </w:r>
      <w:proofErr w:type="spellEnd"/>
      <w:r>
        <w:t xml:space="preserve">, ORD (EN-340F) Bruce Moore, ESD (MD-13) Pat Embry OGC, (LE-132A) Brenda Riddle, ESD (MD-13) Robert </w:t>
      </w:r>
      <w:proofErr w:type="spellStart"/>
      <w:r>
        <w:t>Fegley</w:t>
      </w:r>
      <w:proofErr w:type="spellEnd"/>
      <w:r>
        <w:t xml:space="preserve">, OPPE (PM-221) Sims Roy, ESD (MD-13) Charlie </w:t>
      </w:r>
      <w:proofErr w:type="spellStart"/>
      <w:r>
        <w:t>Garlow</w:t>
      </w:r>
      <w:proofErr w:type="spellEnd"/>
      <w:r>
        <w:t>, OECM (LE-134A) Ron</w:t>
      </w:r>
      <w:r>
        <w:t xml:space="preserve"> Shafer, SSCD (EN-341) Charles Gregg, OW (WH-556) Al </w:t>
      </w:r>
      <w:proofErr w:type="spellStart"/>
      <w:r>
        <w:t>Vervaert</w:t>
      </w:r>
      <w:proofErr w:type="spellEnd"/>
      <w:r>
        <w:t xml:space="preserve">, ESD (MD-13) Bob Jordan OTS (TS-788A) Dave Wagner, OTS (TS-794) Asbestos NESHAP Coordinator, Regions I-X Roger </w:t>
      </w:r>
      <w:proofErr w:type="spellStart"/>
      <w:r>
        <w:t>Wilmoth</w:t>
      </w:r>
      <w:proofErr w:type="spellEnd"/>
      <w:r>
        <w:t>, AAERL Cincinnati Gil Wood, EMB (MD-14)</w:t>
      </w:r>
    </w:p>
    <w:p w:rsidR="009631F8" w:rsidRDefault="009631F8">
      <w:pPr>
        <w:spacing w:before="9" w:line="220" w:lineRule="exact"/>
      </w:pPr>
    </w:p>
    <w:p w:rsidR="009631F8" w:rsidRDefault="00C07F54">
      <w:pPr>
        <w:pStyle w:val="BodyText"/>
      </w:pPr>
      <w:r>
        <w:t>cc: Bob Ajax (MD-13)</w:t>
      </w:r>
    </w:p>
    <w:p w:rsidR="009631F8" w:rsidRDefault="00C07F54">
      <w:pPr>
        <w:pStyle w:val="BodyText"/>
        <w:spacing w:before="9" w:line="251" w:lineRule="auto"/>
        <w:ind w:right="170"/>
      </w:pPr>
      <w:r>
        <w:t xml:space="preserve">Robert </w:t>
      </w:r>
      <w:proofErr w:type="spellStart"/>
      <w:r>
        <w:t>Bronst</w:t>
      </w:r>
      <w:r>
        <w:t>rup</w:t>
      </w:r>
      <w:proofErr w:type="spellEnd"/>
      <w:r>
        <w:t>, EPA-OIG - Chicago Ron Campbell (MD-IO) Regional Counsels, Regions I - X Regional Counsel Air Branch Chiefs</w:t>
      </w:r>
    </w:p>
    <w:sectPr w:rsidR="009631F8" w:rsidSect="00C07F54">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631F8"/>
    <w:rsid w:val="009631F8"/>
    <w:rsid w:val="00C0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Nonfriable ACM Clarification</dc:title>
  <dc:subject>Applicability Determination Index</dc:subject>
  <dc:creator>EPA/SSCD</dc:creator>
  <cp:keywords>Asbestos</cp:keywords>
  <cp:lastModifiedBy>Kurt</cp:lastModifiedBy>
  <cp:revision>3</cp:revision>
  <cp:lastPrinted>2014-03-17T18:28:00Z</cp:lastPrinted>
  <dcterms:created xsi:type="dcterms:W3CDTF">2014-03-17T14:27:00Z</dcterms:created>
  <dcterms:modified xsi:type="dcterms:W3CDTF">2014-03-17T18:28:00Z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